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BbgLZV (Brandenburg) — Inkrafttreten, Außerkrafttreten</w:t>
      </w:r>
    </w:p>
    <w:p>
      <w:r>
        <w:rPr>
          <w:color w:val="555555"/>
          <w:sz w:val="18"/>
        </w:rPr>
        <w:t xml:space="preserve">Brandenburgische Lehrkräftezulagenverordnung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ersten Tag des auf die Verkündung folgenden Kalendermonats in Kraft. Gleichzeitig tritt die Lehrkräftezulagenverordnung vom 21. Februar 2000 ( GVBl. II S. 61) außer Kraft.</w:t>
      </w:r>
    </w:p>
    <w:p>
      <w:r>
        <w:t xml:space="preserve">Einzelnorm</w:t>
      </w:r>
    </w:p>
    <w:p>
      <w:r>
        <w:t xml:space="preserve">Potsdam, den 12. Oktober 2015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der Finanzen</w:t>
      </w:r>
    </w:p>
    <w:p>
      <w:r>
        <w:t xml:space="preserve">Christian Görke</w:t>
      </w:r>
    </w:p>
    <w:p>
      <w:r>
        <w:rPr>
          <w:color w:val="555555"/>
          <w:sz w:val="17"/>
        </w:rPr>
        <w:t xml:space="preserve">Zitiervorschlag: § 7 BbgLZV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https://recht.nulegal.eu/gesetze/BbgLZV/7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