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BbgLZV (Brandenburg) — Geltungsbereich</w:t>
      </w:r>
    </w:p>
    <w:p>
      <w:r>
        <w:rPr>
          <w:color w:val="555555"/>
          <w:sz w:val="18"/>
        </w:rPr>
        <w:t xml:space="preserve">Brandenburgische Lehrkräftezulagenverordnung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die Gewährung von Stellenzulagen für Lehrkräfte mit besonderen Funktionen. Lehrkräfte im Sinne dieser Verordnung sind Lehrerinnen und Lehrer, Förderschullehrerinnen und Förderschullehrer sowie Studienrätinnen und Studienräte.</w:t>
      </w:r>
    </w:p>
    <w:p>
      <w:r>
        <w:t xml:space="preserve">(2) Ein Anspruch auf eine Stellenzulage besteht nur, wenn die Funktion ständig wahrgenommen wird und die Wahrnehmung der Funktion nicht schon bei der Einstufung des Amtes der Lehrkraft berücksichtigt ist.</w:t>
      </w:r>
    </w:p>
    <w:p>
      <w:r>
        <w:t xml:space="preserve">(3) Werden mehrere der in den §§ 2 bis 4 genannten besonderen Funktionen ausgeübt, wird nur die Stellenzulage mit dem höchsten Zulagenbetrag gewährt.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