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BbgLWahlV (Brandenburg) — Wahlbenachrichtigungen, Wahlscheinanträge, Wahlscheine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Wahlbenachrichtigungen für die Landtagswahl und für die Bundestags- oder Europawahl sollen nach Möglichkeit zusammengefasst werden. Dabei ist in geeigneter Weise kenntlich zu machen für welche Wahl die Wahlberechtigung besteht. Die zusammengefasste Wahlbenachrichtigung soll die in § 19 Absatz 1 der Bundeswahlordnung oder § 18 Absatz 1 der Europawahlordnung und § 15 Absatz 1 dieser Verordnung genannten Angaben enthalten und darf der Anlage 3 zur Bundeswahlordnung oder der Anlage 3 zur Europawahlordnung nicht widersprechen.</w:t>
      </w:r>
    </w:p>
    <w:p>
      <w:r>
        <w:t xml:space="preserve">(2) Auf der Rückseite der Wahlbenachrichtigung nach Absatz 1 soll nach Möglichkeit ein für die verbundenen Wahlen einheitlicher Vordruck für einen Antrag auf Erteilung von Wahlscheinen aufgedruckt werden.</w:t>
      </w:r>
    </w:p>
    <w:p>
      <w:r>
        <w:t xml:space="preserve">(3) Für die Bundestags- oder Europawahl sind gesonderte Wahlscheine zu verwenden. Die Wahlscheine für die Landtagswahl müssen sich deutlich von der weißen oder weißlichen Farbe der Wahlscheine für die Bundestags- oder Europawahl unterscheiden. Die Landeswahlleiterin oder der Landeswahlleiter kann hierzu nähere Regelungen treffen.</w:t>
      </w:r>
    </w:p>
    <w:p>
      <w:r>
        <w:rPr>
          <w:color w:val="555555"/>
          <w:sz w:val="17"/>
        </w:rPr>
        <w:t xml:space="preserve">Zitiervorschlag: § 93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https://recht.nulegal.eu/gesetze/BbgLWahlV/93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