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BbgLWahlV (Brandenburg) — Geldbußen</w:t>
      </w:r>
    </w:p>
    <w:p>
      <w:r>
        <w:rPr>
          <w:color w:val="555555"/>
          <w:sz w:val="18"/>
        </w:rPr>
        <w:t xml:space="preserve">Brandenburgische Landeswahlverordnung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Geldbußen nach § 47 Absatz 1 Nummer 1 des Brandenburgischen Landeswahlgesetzes fließen in die Kasse der Gemeinde, in deren Wahlberechtigtenverzeichnis die wahlberechtigte Person eingetragen ist oder hätte eingetragen werden müssen. Geldbußen nach § 47 Absatz 1 Nummer 2 des Brandenburgischen Landeswahlgesetzes fließen in die Kasse des Landes.</w:t>
      </w:r>
    </w:p>
    <w:p>
      <w:r>
        <w:rPr>
          <w:color w:val="555555"/>
          <w:sz w:val="17"/>
        </w:rPr>
        <w:t xml:space="preserve">Zitiervorschlag: § 9 BbgLWahlV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https://recht.nulegal.eu/gesetze/BbgLWahlV/9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