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83 BbgLWahlV (Brandenburg) — Zustellungen</w:t>
      </w:r>
    </w:p>
    <w:p>
      <w:r>
        <w:rPr>
          <w:color w:val="555555"/>
          <w:sz w:val="18"/>
        </w:rPr>
        <w:t xml:space="preserve">Brandenburgische Landeswahlverordnung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Zustellungen werden nach den Vorschriften des Verwaltungszustellungsgesetzes für das Land Brandenburg in der jeweils geltenden Fassung vorgenommen.</w:t>
      </w:r>
    </w:p>
    <w:p>
      <w:r>
        <w:rPr>
          <w:color w:val="555555"/>
          <w:sz w:val="17"/>
        </w:rPr>
        <w:t xml:space="preserve">Zitiervorschlag: § 83 BbgLWahlV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https://recht.nulegal.eu/gesetze/BbgLWahlV/83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