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BbgLWahlV (Brandenburg) — Wahlurnen</w:t>
      </w:r>
    </w:p>
    <w:p>
      <w:r>
        <w:rPr>
          <w:color w:val="555555"/>
          <w:sz w:val="18"/>
        </w:rPr>
        <w:t xml:space="preserve">Brandenburgische Landeswahlverordnung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von den wählenden Personen abgegebenen Stimmzettel werden in Wahlurnen gesammelt.</w:t>
      </w:r>
    </w:p>
    <w:p>
      <w:r>
        <w:t xml:space="preserve">(2) Die Wahlbehörde sorgt für die erforderlichen Wahlurnen.</w:t>
      </w:r>
    </w:p>
    <w:p>
      <w:r>
        <w:t xml:space="preserve">(3) Die Wahlurne muss mit einem verschließbaren Deckel versehen und so beschaffen sein, dass sie die Stimmzettel in einer das Wahlgeheimnis wahrenden Weise aufnehmen kann.</w:t>
      </w:r>
    </w:p>
    <w:p>
      <w:r>
        <w:rPr>
          <w:color w:val="555555"/>
          <w:sz w:val="17"/>
        </w:rPr>
        <w:t xml:space="preserve">Zitiervorschlag: § 49 BbgLWahlV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https://recht.nulegal.eu/gesetze/BbgLWahlV/49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