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BbgLWahlV (Brandenburg) — Vorprüfung der Landeslisten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Landeswahlleiterin oder der Landeswahlleiter vermerkt auf jeder Landesliste den Tag und bei Eingang am letzten Tag der Einreichungsfrist außerdem die Uhrzeit des Eingangs. § 34 Absatz 1 Satz 2 bis 4 und Absatz 3 gilt entsprechend.</w:t>
      </w:r>
    </w:p>
    <w:p>
      <w:r>
        <w:t xml:space="preserve">(2) Erhält eine Landesliste den Hinweis, dass die einreichende Partei, politische Vereinigung oder Listenvereinigung als eine Vereinigung der Sorben/Wenden zur Wahl antreten will (§ 38 Absatz 1 Nummer 4), unterrichtet die Landeswahlleiterin oder der Landeswahlleiter unverzüglich die Präsidentin oder den Präsidenten des Landtages über den Eingang der Landesliste.</w:t>
      </w:r>
    </w:p>
    <w:p>
      <w:r>
        <w:rPr>
          <w:color w:val="555555"/>
          <w:sz w:val="17"/>
        </w:rPr>
        <w:t xml:space="preserve">Zitiervorschlag: § 39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