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BbgLWahlG (Brandenburg) — Sachliche Voraussetzungen des Wahlrechts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Wahlberechtigt sind alle Bürgerinnen und Bürger im Sinne des Artikels 3 Absatz 1 Satz 1 der Verfassung des Landes Brandenburg, die am Wahltage</w:t>
      </w:r>
    </w:p>
    <w:p>
      <w:r>
        <w:t xml:space="preserve">das 16. Lebensjahr vollendet haben,</w:t>
      </w:r>
    </w:p>
    <w:p>
      <w:r>
        <w:t xml:space="preserve">seit mindestens einem Monat im Land</w:t>
      </w:r>
    </w:p>
    <w:p>
      <w:r>
        <w:t xml:space="preserve">ihren ständigen Wohnsitz haben oder</w:t>
      </w:r>
    </w:p>
    <w:p>
      <w:r>
        <w:t xml:space="preserve">sich sonst gewöhnlich aufhalten und keine Wohnung in der Bundesrepublik Deutschland haben</w:t>
      </w:r>
    </w:p>
    <w:p>
      <w:r>
        <w:t xml:space="preserve">sowie</w:t>
      </w:r>
    </w:p>
    <w:p>
      <w:r>
        <w:t xml:space="preserve">nicht nach § 7 vom Wahlrecht ausgeschlossen sind.</w:t>
      </w:r>
    </w:p>
    <w:p>
      <w:r>
        <w:t xml:space="preserve">Bei Inhabern von Hauptwohnungen und Nebenwohnungen im Sinne des Melderechts wird der ständige Wohnsitz am Ort der Hauptwohnung vermutet.</w:t>
      </w:r>
    </w:p>
    <w:p>
      <w:r>
        <w:t xml:space="preserve">(2) Bei der Berechnung der Monatsfrist nach Absatz 1 Nummer 2 ist der Tag der Wohnungsnahme in die Frist einzubeziehen.</w:t>
      </w:r>
    </w:p>
    <w:p>
      <w:r>
        <w:rPr>
          <w:color w:val="555555"/>
          <w:sz w:val="17"/>
        </w:rPr>
        <w:t xml:space="preserve">Zitiervorschlag: § 5 BbgLWahlG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BbgLWahlG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