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BbgLWahlG (Brandenburg) — Ordnungswidrigkeiten</w:t>
      </w:r>
    </w:p>
    <w:p>
      <w:r>
        <w:rPr>
          <w:color w:val="555555"/>
          <w:sz w:val="18"/>
        </w:rPr>
        <w:t xml:space="preserve">Brandenburgisches Landeswahlgesetz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</w:t>
      </w:r>
    </w:p>
    <w:p>
      <w:r>
        <w:t xml:space="preserve">entgegen § 46 ohne gesetzlichen Grund die Übernahme einer ehrenamtlichen Tätigkeit ablehnt oder sich ohne genügende Entschuldigung diesen Pflichten entzieht oder</w:t>
      </w:r>
    </w:p>
    <w:p>
      <w:r>
        <w:t xml:space="preserve">entgegen § 35 Absatz 2 Ergebnisse von Befragungen von wahlberechtigten Personen nach der Stimmabgabe über den Inhalt der Wahlentscheidung vor Schließung der Wahllokale (18 Uhr) veröffentlicht.</w:t>
      </w:r>
    </w:p>
    <w:p>
      <w:r>
        <w:t xml:space="preserve">(2) Die Ordnungswidrigkeit nach Absatz 1 Nummer 1 kann mit einer Geldbuße bis zu 500 Euro, die Ordnungswidrigkeit nach Absatz 1 Nummer 2 mit einer Geldbuße bis zu 50 000 Euro geahndet werden.</w:t>
      </w:r>
    </w:p>
    <w:p>
      <w:r>
        <w:t xml:space="preserve">(3) Behörde ist bei Ordnungswidrigkeiten nach Absatz 1 Nummer 1 die Kreiswahlleiterin oder der Kreiswahlleiter, bei Ordnungswidrigkeiten nach Absatz 1 Nummer 2 die Landeswahlleiterin oder der Landeswahlleiter.</w:t>
      </w:r>
    </w:p>
    <w:p>
      <w:r>
        <w:rPr>
          <w:color w:val="555555"/>
          <w:sz w:val="17"/>
        </w:rPr>
        <w:t xml:space="preserve">Zitiervorschlag: § 47 BbgLWahlG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https://recht.nulegal.eu/gesetze/BbgLWahlG/47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