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BbgLWahlG (Brandenburg) — Zuständigkeit</w:t>
      </w:r>
    </w:p>
    <w:p>
      <w:r>
        <w:rPr>
          <w:color w:val="555555"/>
          <w:sz w:val="18"/>
        </w:rPr>
        <w:t xml:space="preserve">Brandenburgisches Landeswahlgesetz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Wahlprüfung obliegt dem Landtag. Er entscheidet über Einsprüche sowie über die Gültigkeit der Wahl nach Vorprüfung durch den Wahlprüfungsausschuss. Das Nähere regelt das Wahlprüfungsgesetz.</w:t>
      </w:r>
    </w:p>
    <w:p>
      <w:r>
        <w:rPr>
          <w:color w:val="555555"/>
          <w:sz w:val="17"/>
        </w:rPr>
        <w:t xml:space="preserve">Zitiervorschlag: § 42 BbgLWahlG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https://recht.nulegal.eu/gesetze/BbgLWahlG/42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