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BbgLWahlG (Brandenburg) — Wahltag</w:t>
      </w:r>
    </w:p>
    <w:p>
      <w:r>
        <w:rPr>
          <w:color w:val="555555"/>
          <w:sz w:val="18"/>
        </w:rPr>
        <w:t xml:space="preserve">Brandenburgisches Landeswahlgesetz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Wahltag muss ein Sonntag oder gesetzlicher Feiertag sein.</w:t>
      </w:r>
    </w:p>
    <w:p>
      <w:r>
        <w:rPr>
          <w:color w:val="555555"/>
          <w:sz w:val="17"/>
        </w:rPr>
        <w:t xml:space="preserve">Zitiervorschlag: § 4 BbgLWahlG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https://recht.nulegal.eu/gesetze/BbgLWahlG/4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