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BbgLWahlG (Brandenburg) — Öffentlichkeit</w:t>
      </w:r>
    </w:p>
    <w:p>
      <w:r>
        <w:rPr>
          <w:color w:val="555555"/>
          <w:sz w:val="18"/>
        </w:rPr>
        <w:t xml:space="preserve">Brandenburgisches Landeswahlgesetz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Wahlhandlung sowie die Ermittlung und die Feststellung des Wahlergebnisses sind öffentlich.</w:t>
      </w:r>
    </w:p>
    <w:p>
      <w:r>
        <w:t xml:space="preserve">(2) Der Wahlvorstand kann im Interesse der Wahlhandlung die Anzahl der im Wahllokal anwesenden Personen beschränken. Den anwesenden Personen ist jede Einflussnahme auf die Wahlhandlung untersagt.</w:t>
      </w:r>
    </w:p>
    <w:p>
      <w:r>
        <w:t xml:space="preserve">(3) Der Wahlvorstand kann Personen, die die Ordnung und Ruhe stören, aus dem Wahllokal verweisen; es soll ihnen jedoch Gelegenheit zur Stimmabgabe gegeben werden.</w:t>
      </w:r>
    </w:p>
    <w:p>
      <w:r>
        <w:rPr>
          <w:color w:val="555555"/>
          <w:sz w:val="17"/>
        </w:rPr>
        <w:t xml:space="preserve">Zitiervorschlag: § 34 BbgLWahlG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