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BbgLWahlG (Brandenburg) — Aufstellung der Bewerbenden</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einem Wahlvorschlag einer Partei oder politischen Vereinigung können nur Bewerbende benannt werden, die in einer Mitglieder- oder Delegiertenversammlung hierzu gewählt worden sind.</w:t>
      </w:r>
    </w:p>
    <w:p>
      <w:r>
        <w:t xml:space="preserve">(2) Wahlkreisbewerbende können gewählt werden</w:t>
      </w:r>
    </w:p>
    <w:p>
      <w:r>
        <w:t xml:space="preserve">in einer Versammlung der zum Zeitpunkt ihres Zusammentritts im Wahlkreis zum Landtag wahlberechtigten Mitglieder oder Delegierten der Partei oder politischen Vereinigung (Wahlkreisversammlung),</w:t>
      </w:r>
    </w:p>
    <w:p>
      <w:r>
        <w:t xml:space="preserve">in Landkreisen und kreisfreien Städten, die mehrere Wahlkreise umfassen, für die Wahlkreise, deren Gebiet die Grenze des Landkreises oder der kreisfreien Stadt nicht durchschneidet, in einer gemeinsamen Versammlung der zum Zeitpunkt ihres Zusammentritts in diesen Wahlkreisen zum Landtag wahlberechtigten Mitglieder oder Delegierten der Partei oder politischen Vereinigung (gemeinsame Wahlkreisversammlung) oder</w:t>
      </w:r>
    </w:p>
    <w:p>
      <w:r>
        <w:t xml:space="preserve">in einer Versammlung der zum Zeitpunkt ihres Zusammentritts zum Landtag wahlberechtigten Mitglieder oder Delegierten der Partei oder politischen Vereinigung (Landesversammlung).</w:t>
      </w:r>
    </w:p>
    <w:p>
      <w:r>
        <w:t xml:space="preserve">(3) Landeslistenbewerbende sowie ihre Reihenfolge auf der Landesliste sind in einer Landesversammlung zu bestimmen.</w:t>
      </w:r>
    </w:p>
    <w:p>
      <w:r>
        <w:t xml:space="preserve">(4) Zu den Versammlungen nach den Absätzen 2 und 3 sind die Mitglieder oder Delegierten von dem zuständigen Vorstand der Partei oder politischen Vereinigung mit mindestens einer dreitägigen Frist entweder einzeln oder durch öffentliche Ankündigung zu laden.</w:t>
      </w:r>
    </w:p>
    <w:p>
      <w:r>
        <w:t xml:space="preserve">(5) Die Bewerbenden und die Delegierten für die Delegiertenversammlungen werden in geheimer Abstimmung gewählt. Jede stimmberechtigte Teilnehmerin und jeder stimmberechtigte Teilnehmer der Versammlung ist hierbei vorschlagsberechtigt. Den Bewerbenden ist Gelegenheit zu geben, sich und ihr Programm der Versammlung in angemessener Zeit vorzustellen. In der Versammlung müssen sich mindestens drei Mitglieder oder Delegierte an der Abstimmung beteiligen.</w:t>
      </w:r>
    </w:p>
    <w:p>
      <w:r>
        <w:t xml:space="preserve">(6) Eine Ausfertigung der Niederschrift über die Wahl der oder des Wahlkreisbewerbenden oder der Landeslistenbewerbenden und die Festlegung ihrer Reihenfolge mit Angaben über die Art, den Ort und die Zeit der Versammlung, die Form der Einladung, die Anzahl der erschienenen Mitglieder oder Delegierten sowie das Ergebnis der Wahl ist mit dem Kreiswahlvorschlag oder der Landesliste einzureichen. Hierbei haben die Leiterin oder der Leiter der Versammlung und zwei von der Versammlung bestimmte teilnehmende Personen gegenüber der Wahlleiterin oder dem Wahlleiter an Eides statt zu versichern, dass die Anforderungen gemäß Absatz 5 beachtet worden sind. Für die Abnahme der Versicherung an Eides statt ist bei Kreiswahlvorschlägen die Kreiswahlleiterin oder der Kreiswahlleiter, bei Landeslisten die Landeswahlleiterin oder der Landeswahlleiter zuständig; sie sind Behörden im Sinne des § 156 des Strafgesetzbuches.</w:t>
      </w:r>
    </w:p>
    <w:p>
      <w:r>
        <w:t xml:space="preserve">(7) Die Wahlen der Bewerbenden und der Delegierten für die Delegiertenversammlungen dürfen frühestens 45 Monate nach Beginn der Wahlperiode des Landtages stattfinden; dies gilt nicht, wenn die Wahlperiode vorzeitig endet.</w:t>
      </w:r>
    </w:p>
    <w:p>
      <w:r>
        <w:t xml:space="preserve">(8) Das Nähere über die Wahl der Delegierten, über die Einberufung der Mitglieder- oder Delegiertenversammlung sowie über das Verfahren für die Wahl der Bewerbenden bleibt der Regelung durch Satzung der Parteien oder politischen Vereinigungen vorbehalten. Eine Abweichung von den Vorgaben des Absatzes 3 ist unzulässig.</w:t>
      </w:r>
    </w:p>
    <w:p>
      <w:r>
        <w:rPr>
          <w:color w:val="555555"/>
          <w:sz w:val="17"/>
        </w:rPr>
        <w:t xml:space="preserve">Zitiervorschlag: § 25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