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BbgLWahlG (Brandenburg) — Wahl der Abgeordneten in den Wahlkreisen</w:t>
      </w:r>
    </w:p>
    <w:p>
      <w:r>
        <w:rPr>
          <w:color w:val="555555"/>
          <w:sz w:val="18"/>
        </w:rPr>
        <w:t xml:space="preserve">Brandenburgisches Landeswahlgesetz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Im Wahlkreis ist die oder der Bewerbende gewählt, die oder der die meisten Stimmen erhalten hat. Bei Stimmengleichheit entscheidet das von der Kreiswahlleiterin oder dem Kreiswahlleiter zu ziehende Los.</w:t>
      </w:r>
    </w:p>
    <w:p>
      <w:r>
        <w:rPr>
          <w:color w:val="555555"/>
          <w:sz w:val="17"/>
        </w:rPr>
        <w:t xml:space="preserve">Zitiervorschlag: § 2 BbgLWahlG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BbgLWahlG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