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BbgLStV (Brandenburg) — Zuständigkeit und Verfahren</w:t>
      </w:r>
    </w:p>
    <w:p>
      <w:r>
        <w:rPr>
          <w:color w:val="555555"/>
          <w:sz w:val="18"/>
        </w:rPr>
        <w:t xml:space="preserve">Brandenburgische Leistungsstufenverordnung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Entscheidung über die Vergabe einer Leistungsstufe und über die Feststellung des Verbleibens in der bisherigen Stufe trifft der Dienstvorgesetzte; die übrigen Vorgesetzten sind zu beteiligen. Bei obersten Landesbehörden können die Befugnisse nach Satz 1 auf andere Stellen übertragen werden.</w:t>
      </w:r>
    </w:p>
    <w:p>
      <w:r>
        <w:t xml:space="preserve">(2) Die Entscheidung nach Absatz 1 Satz 1 ist der Beamtin oder dem Beamten schriftlich oder elektronisch mitzuteilen. Widerspruch und Anfechtungsklage haben keine aufschiebende Wirkung (§ 25 Absatz 4 Satz 4 des Brandenburgischen Besoldungsgesetzes).</w:t>
      </w:r>
    </w:p>
    <w:p>
      <w:r>
        <w:rPr>
          <w:color w:val="555555"/>
          <w:sz w:val="17"/>
        </w:rPr>
        <w:t xml:space="preserve">Zitiervorschlag: § 6 BbgLStV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