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BbgLStV (Brandenburg) — Zahl der Empfängerinnen und Empfänger</w:t>
      </w:r>
    </w:p>
    <w:p>
      <w:r>
        <w:rPr>
          <w:color w:val="555555"/>
          <w:sz w:val="18"/>
        </w:rPr>
        <w:t xml:space="preserve">Brandenburgische Leistungsstufenverordnung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Leistungsstufen können an insgesamt höchstens 15 Prozent der Beamtinnen und Beamten in Besoldungsgruppen der Besoldungsordnung A im Bereich des jeweiligen Dienstherrn gewährt werden, die das Endgrundgehalt noch nicht erreicht haben; maßgebend ist die Zahl der vorhandenen Beamtinnen und Beamten am 1. Januar des Kalenderjahres. Die Entscheidungsberechtigten nach § 6 Absatz 1 können Leistungsstufen an jeweils bis zu 15 Prozent der ihnen unterstellten Beamtinnen und Beamten vergeben; dabei darf die nach Satz 1 insgesamt für den Bereich des Dienstherrn geltende Zahl der Empfängerinnen und Empfänger nicht überschritten werden.</w:t>
      </w:r>
    </w:p>
    <w:p>
      <w:r>
        <w:t xml:space="preserve">(2) Bei der Vergabe sollen alle Laufbahngruppen berücksichtigt werden.</w:t>
      </w:r>
    </w:p>
    <w:p>
      <w:r>
        <w:t xml:space="preserve">(3) Bei Dienstherren mit weniger als sieben Beamtinnen und Beamten im Sinne des Absatzes 1 Satz 1 kann abweichend von Absatz 1 in jedem Kalenderjahr an eine Beamtin oder einen Beamten eine Leistungsstufe vergeben werden.</w:t>
      </w:r>
    </w:p>
    <w:p>
      <w:r>
        <w:t xml:space="preserve">(4) Bei den Entscheidungen nach den Absätzen 1 und 2 sind die haushaltsrechtlichen Möglichkeiten zu beachten.</w:t>
      </w:r>
    </w:p>
    <w:p>
      <w:r>
        <w:rPr>
          <w:color w:val="555555"/>
          <w:sz w:val="17"/>
        </w:rPr>
        <w:t xml:space="preserve">Zitiervorschlag: § 5 BbgLStV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https://recht.nulegal.eu/gesetze/BbgLStV/5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