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BbgLStV (Brandenburg) — Geltungsbereich</w:t>
      </w:r>
    </w:p>
    <w:p>
      <w:r>
        <w:rPr>
          <w:color w:val="555555"/>
          <w:sz w:val="18"/>
        </w:rPr>
        <w:t xml:space="preserve">Brandenburgische Leistungsstufenverordnung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Aufsteigen in den Stufen des Grundgehalts in den Besoldungsgruppen der Besoldungsordnung A erfolgt gemäß § 25 Absatz 1 Satz 2 des Brandenburgischen Besoldungsgesetzes nach bestimmten Zeiten mit dienstlicher Erfahrung, in denen anforderungsgerechte Leistungen erbracht wurden (Erfahrungszeiten).</w:t>
      </w:r>
    </w:p>
    <w:p>
      <w:r>
        <w:t xml:space="preserve">(2) Diese Verordnung regelt das leistungsabhängige Aufsteigen und das Verbleiben in den Grundgehaltsstufen bei Beamtinnen und Beamten in Besoldungsgruppen der Besoldungsordnung A im Geltungsbereich des Landesbeamtengesetzes. Sie gilt nicht für Beamtinnen und Beamte in der Probezeit nach § 18 oder § 120 des Landesbeamtengesetzes sowie für Beamtinnen und Beamte auf Zeit.</w:t>
      </w:r>
    </w:p>
    <w:p>
      <w:r>
        <w:rPr>
          <w:color w:val="555555"/>
          <w:sz w:val="17"/>
        </w:rPr>
        <w:t xml:space="preserve">Zitiervorschlag: § 1 BbgLStV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