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BbgLSchlAV (Brandenburg) — Inkrafttreten, Außerkrafttreten</w:t>
      </w:r>
    </w:p>
    <w:p>
      <w:r>
        <w:rPr>
          <w:color w:val="555555"/>
          <w:sz w:val="18"/>
        </w:rPr>
        <w:t xml:space="preserve">Brandenburgische Ladenschluss-Ausnahmeverordnung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 Tag nach der Verkündung in Kraft. Gleichzeitig tritt die Ladenschluss-Ausnahmeverordnung vom 9. Mai 2005 ( GVBl. II S. 238), die durch Artikel 2 des Gesetzes vom 27. November 2006 (GVBl. I S. 158, 160) geändert worden ist, außer Kraft.</w:t>
      </w:r>
    </w:p>
    <w:p>
      <w:r>
        <w:t xml:space="preserve">Potsdam, den 16. April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Nonnenmacher</w:t>
      </w:r>
    </w:p>
    <w:p>
      <w:r>
        <w:t xml:space="preserve">Der Minister für Wirtschaft,</w:t>
      </w:r>
    </w:p>
    <w:p>
      <w:r>
        <w:t xml:space="preserve">Arbeit und Energie</w:t>
      </w:r>
    </w:p>
    <w:p>
      <w:r>
        <w:t xml:space="preserve">Prof. Dr.-Ing. Jörg Steinbach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2 BbgLSchlAV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https://recht.nulegal.eu/gesetze/BbgLSchlAV/2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