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BbgLSchlAV (Brandenburg) — Bestimmung der Kurorte, Ausflugs- und Erholungsorte</w:t>
      </w:r>
    </w:p>
    <w:p>
      <w:r>
        <w:rPr>
          <w:color w:val="555555"/>
          <w:sz w:val="18"/>
        </w:rPr>
        <w:t xml:space="preserve">Brandenburgische Ladenschluss-Ausnahmeverordnung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Als Orte nach § 5 Absatz 4 des Brandenburgischen Ladenöffnungsgesetzes werden die in der Anlage zu dieser Verordnung aufgeführten Kurorte, Ausflugs- und Erholungsorte bestimmt.</w:t>
      </w:r>
    </w:p>
    <w:p>
      <w:r>
        <w:rPr>
          <w:color w:val="555555"/>
          <w:sz w:val="17"/>
        </w:rPr>
        <w:t xml:space="preserve">Zitiervorschlag: § 1 BbgLSchlAV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https://recht.nulegal.eu/gesetze/BbgLSchlAV/1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