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BbgLSBG (Brandenburg) — In-Kraft-Treten</w:t>
      </w:r>
    </w:p>
    <w:p>
      <w:r>
        <w:rPr>
          <w:color w:val="555555"/>
          <w:sz w:val="18"/>
        </w:rPr>
        <w:t xml:space="preserve">Brandenburgisches Landesschuldbuchgesetz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29. Juni 2004</w:t>
      </w:r>
    </w:p>
    <w:p>
      <w:r>
        <w:t xml:space="preserve">Der Präsident</w:t>
      </w:r>
    </w:p>
    <w:p>
      <w:r>
        <w:t xml:space="preserve">des Landtags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4 BbgLSBG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