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BbgLSBG (Brandenburg) — Anwendung des Bundeswertpapierverwaltungsgesetzes</w:t>
      </w:r>
    </w:p>
    <w:p>
      <w:r>
        <w:rPr>
          <w:color w:val="555555"/>
          <w:sz w:val="18"/>
        </w:rPr>
        <w:t xml:space="preserve">Brandenburgisches Landesschuldbuchgesetz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Für das Landesschuldbuch gelten die §§ 6 bis 8 des Bundesschuldenwesengesetzes</w:t>
      </w:r>
    </w:p>
    <w:p>
      <w:r>
        <w:t xml:space="preserve">vom 12. Juli 2006 (BGBl. I S. 1466) in der jeweils geltenden Fassung</w:t>
      </w:r>
    </w:p>
    <w:p>
      <w:r>
        <w:t xml:space="preserve">entsprechend, soweit in diesem Gesetz oder in den jeweiligen</w:t>
      </w:r>
    </w:p>
    <w:p>
      <w:r>
        <w:t xml:space="preserve">Emissionsbedingungen des Landes Brandenburg nicht etwas anderes bestimmt ist.</w:t>
      </w:r>
    </w:p>
    <w:p>
      <w:r>
        <w:t xml:space="preserve">(2) Bei Anwendung der in Absatz 1 genannten</w:t>
      </w:r>
    </w:p>
    <w:p>
      <w:r>
        <w:t xml:space="preserve">Vorschriften treten an die Stelle</w:t>
      </w:r>
    </w:p>
    <w:p>
      <w:r>
        <w:t xml:space="preserve">des Bundes</w:t>
      </w:r>
    </w:p>
    <w:p>
      <w:r>
        <w:t xml:space="preserve">das Land Brandenburg,</w:t>
      </w:r>
    </w:p>
    <w:p>
      <w:r>
        <w:t xml:space="preserve">des Bundesministeriums der Finanzen</w:t>
      </w:r>
    </w:p>
    <w:p>
      <w:r>
        <w:t xml:space="preserve">das Ministerium der Finanzen,</w:t>
      </w:r>
    </w:p>
    <w:p>
      <w:r>
        <w:t xml:space="preserve">des Bundesschuldbuches</w:t>
      </w:r>
    </w:p>
    <w:p>
      <w:r>
        <w:t xml:space="preserve">das Schuldbuch des Landes Brandenburg,</w:t>
      </w:r>
    </w:p>
    <w:p>
      <w:r>
        <w:t xml:space="preserve">der Bundeswertpapiere</w:t>
      </w:r>
    </w:p>
    <w:p>
      <w:r>
        <w:t xml:space="preserve">die Emissionen des Landes Brandenburg.</w:t>
      </w:r>
    </w:p>
    <w:p>
      <w:r>
        <w:rPr>
          <w:color w:val="555555"/>
          <w:sz w:val="17"/>
        </w:rPr>
        <w:t xml:space="preserve">Zitiervorschlag: § 3 BbgLSBG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https://recht.nulegal.eu/gesetze/BbgLSBG/3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