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BbgLSBG (Brandenburg) — Inhalt des Landesschuldbuches</w:t>
      </w:r>
    </w:p>
    <w:p>
      <w:r>
        <w:rPr>
          <w:color w:val="555555"/>
          <w:sz w:val="18"/>
        </w:rPr>
        <w:t xml:space="preserve">Brandenburgisches Landesschuldbuchgesetz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Landesschuldbuch besteht aus</w:t>
      </w:r>
    </w:p>
    <w:p>
      <w:r>
        <w:t xml:space="preserve">Abteilungen. In Abtei lung1 werden</w:t>
      </w:r>
    </w:p>
    <w:p>
      <w:r>
        <w:t xml:space="preserve">Sammelschuldbuchforderungen und Einzel schuldbuchforderungen eingetragen,</w:t>
      </w:r>
    </w:p>
    <w:p>
      <w:r>
        <w:t xml:space="preserve">die auf Zahlung einer Geldsumme lauten und ihrer Art nach in</w:t>
      </w:r>
    </w:p>
    <w:p>
      <w:r>
        <w:t xml:space="preserve">Schuldverschreibungen verbrieft werden können. Das Ministerium der Finanzen kann</w:t>
      </w:r>
    </w:p>
    <w:p>
      <w:r>
        <w:t xml:space="preserve">für weitere Schuldbuchforderungen zusätzliche Abteilungen einrichten.</w:t>
      </w:r>
    </w:p>
    <w:p>
      <w:r>
        <w:t xml:space="preserve">(2) Über die Schuldbuchfähigkeit von durch</w:t>
      </w:r>
    </w:p>
    <w:p>
      <w:r>
        <w:t xml:space="preserve">Gesetz oder Rechtsgeschäft begründeten Forderungen entscheidet das Ministerium</w:t>
      </w:r>
    </w:p>
    <w:p>
      <w:r>
        <w:t xml:space="preserve">der Finanzen.</w:t>
      </w:r>
    </w:p>
    <w:p>
      <w:r>
        <w:rPr>
          <w:color w:val="555555"/>
          <w:sz w:val="17"/>
        </w:rPr>
        <w:t xml:space="preserve">Zitiervorschlag: § 2 BbgLSBG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