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BbgLPZV (Brandenburg) — Inkrafttreten, Außerkrafttreten</w:t>
      </w:r>
    </w:p>
    <w:p>
      <w:r>
        <w:rPr>
          <w:color w:val="555555"/>
          <w:sz w:val="18"/>
        </w:rPr>
        <w:t xml:space="preserve">Brandenburgische Leistungsprämien- und -zulagenverordnung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Januar 2014 in Kraft. Gleichzeitig tritt die Brandenburgische Leistungsprämien- und -zulagenverordnung in der Fassung der Bekanntmachung vom 12. Dezember 2008 (GVBl. 2009 II S. 34) außer Kraft.</w:t>
      </w:r>
    </w:p>
    <w:p>
      <w:r>
        <w:t xml:space="preserve">Potsdam, den 7. August 2014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Der Minister der Finanzen</w:t>
      </w:r>
    </w:p>
    <w:p>
      <w:r>
        <w:t xml:space="preserve">Christian Görke</w:t>
      </w:r>
    </w:p>
    <w:p>
      <w:r>
        <w:rPr>
          <w:color w:val="555555"/>
          <w:sz w:val="17"/>
        </w:rPr>
        <w:t xml:space="preserve">Zitiervorschlag: § 7 BbgLPZV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https://recht.nulegal.eu/gesetze/BbgLPZV/7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