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BbgLPZV (Brandenburg) — Geltungsbereich</w:t>
      </w:r>
    </w:p>
    <w:p>
      <w:r>
        <w:rPr>
          <w:color w:val="555555"/>
          <w:sz w:val="18"/>
        </w:rPr>
        <w:t xml:space="preserve">Brandenburgische Leistungsprämien- und -zulagenverordnung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Gewährung von Leistungsprämien und Leistungszulagen an Beamtinnen und Beamte in Besoldungsgruppen der Besoldungsordnungen A und B im Geltungsbereich des Landesbeamtengesetzes. Sie gilt nicht für Beamtinnen und Beamte in der Probezeit nach § 18 oder § 120 des Landesbeamtengesetzes sowie für Beamtinnen und Beamte auf Zeit.</w:t>
      </w:r>
    </w:p>
    <w:p>
      <w:r>
        <w:rPr>
          <w:color w:val="555555"/>
          <w:sz w:val="17"/>
        </w:rPr>
        <w:t xml:space="preserve">Zitiervorschlag: § 1 BbgLPZV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https://recht.nulegal.eu/gesetze/BbgLPZV/1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