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BbgLFamKaV (Brandenburg) — Inkrafttreten</w:t>
      </w:r>
    </w:p>
    <w:p>
      <w:r>
        <w:rPr>
          <w:color w:val="555555"/>
          <w:sz w:val="18"/>
        </w:rPr>
        <w:t xml:space="preserve">Brandenburgische Landesfamilienkassenverordnung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4. September 2007</w:t>
      </w:r>
    </w:p>
    <w:p>
      <w:r>
        <w:t xml:space="preserve">Der Minister der Finanzen</w:t>
      </w:r>
    </w:p>
    <w:p>
      <w:r>
        <w:t xml:space="preserve">Rainer Speer</w:t>
      </w:r>
    </w:p>
    <w:p>
      <w:r>
        <w:rPr>
          <w:color w:val="555555"/>
          <w:sz w:val="17"/>
        </w:rPr>
        <w:t xml:space="preserve">Zitiervorschlag: § 3 BbgLFamKaV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https://recht.nulegal.eu/gesetze/BbgLFamKaV/3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