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BbgLFamKaV (Brandenburg) — Errichtung von Landesfamilienkassen</w:t>
      </w:r>
    </w:p>
    <w:p>
      <w:r>
        <w:rPr>
          <w:color w:val="555555"/>
          <w:sz w:val="18"/>
        </w:rPr>
        <w:t xml:space="preserve">Brandenburgische Landesfamilienkassenverordnung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 Landesfamilienkassen werden bestimmt:</w:t>
      </w:r>
    </w:p>
    <w:p>
      <w:r>
        <w:t xml:space="preserve">die Zentrale Bezügestelle des Landes Brandenburg mit Sitz in Cottbus,</w:t>
      </w:r>
    </w:p>
    <w:p>
      <w:r>
        <w:t xml:space="preserve">der Kommunale Versorgungsverband Brandenburg mit Sitz in Gransee.</w:t>
      </w:r>
    </w:p>
    <w:p>
      <w:r>
        <w:t xml:space="preserve">(2) Die Zentrale Bezügestelle des Landes Brandenburg mit Sitz in</w:t>
      </w:r>
    </w:p>
    <w:p>
      <w:r>
        <w:t xml:space="preserve">Cottbus kann als Landesfamilienkasse die Aufgaben nach § 72 Abs. 1 des</w:t>
      </w:r>
    </w:p>
    <w:p>
      <w:r>
        <w:t xml:space="preserve">Einkommensteuergesetzes wahrnehmen, soweit ihr diese Aufgaben von</w:t>
      </w:r>
    </w:p>
    <w:p>
      <w:r>
        <w:t xml:space="preserve">Körperschaften, Stiftungen, Anstalten des öffentlichen Rechts oder</w:t>
      </w:r>
    </w:p>
    <w:p>
      <w:r>
        <w:t xml:space="preserve">sonstigen öffentlich-rechtlichen Einrichtungen des Landes Brandenburg oder</w:t>
      </w:r>
    </w:p>
    <w:p>
      <w:r>
        <w:t xml:space="preserve">gemeinsamer vergleichbarer Einrichtungen mit dem Land Berlin übertragen</w:t>
      </w:r>
    </w:p>
    <w:p>
      <w:r>
        <w:t xml:space="preserve">werden.</w:t>
      </w:r>
    </w:p>
    <w:p>
      <w:r>
        <w:t xml:space="preserve">(3) Der Kommunale Versorgungsverband Brandenburg mit Sitz in Gransee kann</w:t>
      </w:r>
    </w:p>
    <w:p>
      <w:r>
        <w:t xml:space="preserve">als Landesfamilienkasse die Aufgaben nach § 72 Abs. 1 des</w:t>
      </w:r>
    </w:p>
    <w:p>
      <w:r>
        <w:t xml:space="preserve">Einkommensteuergesetzes wahrnehmen, soweit ihm diese Aufgaben von einer</w:t>
      </w:r>
    </w:p>
    <w:p>
      <w:r>
        <w:t xml:space="preserve">Gemeinde, einem Gemeindeverband oder einer sonstigen kommunalen</w:t>
      </w:r>
    </w:p>
    <w:p>
      <w:r>
        <w:t xml:space="preserve">Körperschaft, kommunalen Anstalt oder kommunalen Stiftung des</w:t>
      </w:r>
    </w:p>
    <w:p>
      <w:r>
        <w:t xml:space="preserve">öffentlichen Rechts mit Sitz im Gebiet des Landes Brandenburg</w:t>
      </w:r>
    </w:p>
    <w:p>
      <w:r>
        <w:t xml:space="preserve">übertragen werden.</w:t>
      </w:r>
    </w:p>
    <w:p>
      <w:r>
        <w:rPr>
          <w:color w:val="555555"/>
          <w:sz w:val="17"/>
        </w:rPr>
        <w:t xml:space="preserve">Zitiervorschlag: § 1 BbgLFamKaV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https://recht.nulegal.eu/gesetze/BbgLFamKaV/1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