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BbgLEG (Brandenburg) — Verband der Teilnehmergemeinschaften</w:t>
      </w:r>
    </w:p>
    <w:p>
      <w:r>
        <w:rPr>
          <w:color w:val="555555"/>
          <w:sz w:val="18"/>
        </w:rPr>
        <w:t xml:space="preserve">Brandenburgisches Landentwicklungsgesetz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Verband für Landentwicklung und Flurneuordnung ist eine Körperschaft des öffentlichen Rechts nach § 26a Abs. 1 Satz 3 des Flurbereinigungsgesetzes und hat Dienstherrenfähigkeit.</w:t>
      </w:r>
    </w:p>
    <w:p>
      <w:r>
        <w:t xml:space="preserve">(2) Die Aufsicht über den Verband führt die obere Flurbereinigungsbehörde.</w:t>
      </w:r>
    </w:p>
    <w:p>
      <w:r>
        <w:rPr>
          <w:color w:val="555555"/>
          <w:sz w:val="17"/>
        </w:rPr>
        <w:t xml:space="preserve">Zitiervorschlag: § 6 BbgLEG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https://recht.nulegal.eu/gesetze/BbgLEG/6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