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BbgLEG (Brandenburg) — Sachliche Zuständigkeit</w:t>
      </w:r>
    </w:p>
    <w:p>
      <w:r>
        <w:rPr>
          <w:color w:val="555555"/>
          <w:sz w:val="18"/>
        </w:rPr>
        <w:t xml:space="preserve">Brandenburgisches Landentwicklungsgesetz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Oberste Flurbereinigungsbehörde des Landes ist das für Landwirtschaft zuständige Ministerium. Es führt die Dienstaufsicht und zugleich die Fachaufsicht.</w:t>
      </w:r>
    </w:p>
    <w:p>
      <w:r>
        <w:t xml:space="preserve">(2) Obere Flurbereinigungsbehörde ist das Landesamt für Ländliche Entwicklung, Landwirtschaft und Flurneuordnung. Für Entscheidungen über Widersprüche gegen die Feststellung der Ergebnisse der Wertermittlung und über Widersprüche gegen den Flurbereinigungsplan nach § 7 ist das für Landwirtschaft zuständige Ministerium obere Flurbereinigungsbehörde.</w:t>
      </w:r>
    </w:p>
    <w:p>
      <w:r>
        <w:t xml:space="preserve">(3) Der oberen Flurbereinigungsbehörde nach Absatz 2 Satz 1 werden sämtliche Aufgaben und Befugnisse übertragen, die nach dem Flurbereinigungsgesetz der Flurbereinigungsbehörde zustehen, soweit sie nicht nach § 3 der Teilnehmergemeinschaft übertragen werden.</w:t>
      </w:r>
    </w:p>
    <w:p>
      <w:r>
        <w:t xml:space="preserve">(4) Flurbereinigungsbehörde und Flurneuordnungsbehörde im Sinne anderer Gesetze ist die obere Flurbereinigungsbehörde nach Absatz 2 Satz 1.</w:t>
      </w:r>
    </w:p>
    <w:p>
      <w:r>
        <w:rPr>
          <w:color w:val="555555"/>
          <w:sz w:val="17"/>
        </w:rPr>
        <w:t xml:space="preserve">Zitiervorschlag: § 2 BbgLEG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https://recht.nulegal.eu/gesetze/BbgLEG/2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