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BbgLEG (Brandenburg) — Gemeinschaftliche Anlagen</w:t>
      </w:r>
    </w:p>
    <w:p>
      <w:r>
        <w:rPr>
          <w:color w:val="555555"/>
          <w:sz w:val="18"/>
        </w:rPr>
        <w:t xml:space="preserve">Brandenburgisches Landentwicklungsgesetz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Die gemeinschaftlichen Anlagen können Körperschaften des öffentlichen Rechts zu Eigentum und Unterhaltung zugeteilt werden, sofern diese zustimmen.</w:t>
      </w:r>
    </w:p>
    <w:p>
      <w:r>
        <w:rPr>
          <w:color w:val="555555"/>
          <w:sz w:val="17"/>
        </w:rPr>
        <w:t xml:space="preserve">Zitiervorschlag: § 10 BbgLEG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https://recht.nulegal.eu/gesetze/BbgLEG/10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