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BbgLEG (Brandenburg) — Beschleunigungsgrundsatz, Neugestaltung</w:t>
      </w:r>
    </w:p>
    <w:p>
      <w:r>
        <w:rPr>
          <w:color w:val="555555"/>
          <w:sz w:val="18"/>
        </w:rPr>
        <w:t xml:space="preserve">Brandenburgisches Landentwicklungsgesetz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Maßnahmen der Flurneuordnung sind zur Behebung der ungeordneten Eigentumsverhältnisse im ländlichen Raum für die ländliche Entwicklung besonders vordringlich. Auf Verfahren nach dem 8. Abschnitt des Landwirtschaftsanpassungsgesetzes findet § 37 des Flurbereinigungsgesetzes Anwendung.</w:t>
      </w:r>
    </w:p>
    <w:p>
      <w:r>
        <w:rPr>
          <w:color w:val="555555"/>
          <w:sz w:val="17"/>
        </w:rPr>
        <w:t xml:space="preserve">Zitiervorschlag: § 1 BbgLEG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