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BbgLDV (Brandenburg) — In-Kraft-Treten, Außer-Kraft-Treten</w:t>
      </w:r>
    </w:p>
    <w:p>
      <w:r>
        <w:rPr>
          <w:color w:val="555555"/>
          <w:sz w:val="18"/>
        </w:rPr>
        <w:t xml:space="preserve">Brandenburgische Leichenschaudokumentations-Verordnung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Gleichzeitig tritt der Runderlass Dokumentation der Leichenschau -</w:t>
      </w:r>
    </w:p>
    <w:p>
      <w:r>
        <w:t xml:space="preserve">Einführung eines einheitlichen Leichenschauscheines für das Land</w:t>
      </w:r>
    </w:p>
    <w:p>
      <w:r>
        <w:t xml:space="preserve">Brandenburg vom 9. Januar 1995 (ABl. S. 30) außer Kraft.</w:t>
      </w:r>
    </w:p>
    <w:p>
      <w:r>
        <w:t xml:space="preserve">Potsdam, den 22. Januar 2003</w:t>
      </w:r>
    </w:p>
    <w:p>
      <w:r>
        <w:rPr>
          <w:color w:val="555555"/>
          <w:sz w:val="17"/>
        </w:rPr>
        <w:t xml:space="preserve">Zitiervorschlag: § 6 BbgLDV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https://recht.nulegal.eu/gesetze/BbgLDV/6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