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BbgLDV (Brandenburg) — Übergangsregelung</w:t>
      </w:r>
    </w:p>
    <w:p>
      <w:r>
        <w:rPr>
          <w:color w:val="555555"/>
          <w:sz w:val="18"/>
        </w:rPr>
        <w:t xml:space="preserve">Brandenburgische Leichenschaudokumentations-Verordnung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im Runderlass Dokumentation der Leichenschau - Einführung eines</w:t>
      </w:r>
    </w:p>
    <w:p>
      <w:r>
        <w:t xml:space="preserve">einheitlichen Leichenschauscheines für das Land Brandenburg vom 9. Januar</w:t>
      </w:r>
    </w:p>
    <w:p>
      <w:r>
        <w:t xml:space="preserve">1995 (ABl. S. 30) benannten Formulare behalten bis zum 30. April 2003 ihre</w:t>
      </w:r>
    </w:p>
    <w:p>
      <w:r>
        <w:t xml:space="preserve">Gültigkeit.</w:t>
      </w:r>
    </w:p>
    <w:p>
      <w:r>
        <w:rPr>
          <w:color w:val="555555"/>
          <w:sz w:val="17"/>
        </w:rPr>
        <w:t xml:space="preserve">Zitiervorschlag: § 5 BbgLDV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https://recht.nulegal.eu/gesetze/BbgLDV/5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