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BbgLDV (Brandenburg) — Kennzeichnungs- und Benachrichtigungspflichten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Fällen von § 6 Abs. 4 des Brandenburgischen</w:t>
      </w:r>
    </w:p>
    <w:p>
      <w:r>
        <w:t xml:space="preserve">Bestattungsgesetzes hat der die Leichenschau durchführende Arzt den bei</w:t>
      </w:r>
    </w:p>
    <w:p>
      <w:r>
        <w:t xml:space="preserve">der Leiche verbleibenden Fensterumschlag mit dem Blatt 3 des vertraulichen</w:t>
      </w:r>
    </w:p>
    <w:p>
      <w:r>
        <w:t xml:space="preserve">Teils des Totenscheins und gegebenenfalls mit dem Formular</w:t>
      </w:r>
    </w:p>
    <w:p>
      <w:r>
        <w:t xml:space="preserve">„Sektionsschein“ deutlich zu kennzeichnen und die zuständige</w:t>
      </w:r>
    </w:p>
    <w:p>
      <w:r>
        <w:t xml:space="preserve">untere Gesundheitsbehörde unverzüglich zu benachrichtigen.</w:t>
      </w:r>
    </w:p>
    <w:p>
      <w:r>
        <w:rPr>
          <w:color w:val="555555"/>
          <w:sz w:val="17"/>
        </w:rPr>
        <w:t xml:space="preserve">Zitiervorschlag: § 4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