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BbgLDV (Brandenburg) — Anwendung der Formulare</w:t>
      </w:r>
    </w:p>
    <w:p>
      <w:r>
        <w:rPr>
          <w:color w:val="555555"/>
          <w:sz w:val="18"/>
        </w:rPr>
        <w:t xml:space="preserve">Brandenburgische Leichenschaudokumentations-Verordnung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Nach Ausfüllen der Personalangaben im Formularsatz</w:t>
      </w:r>
    </w:p>
    <w:p>
      <w:r>
        <w:t xml:space="preserve">„Totenschein“ ist das Blatt nichtvertraulicher Teil vom Formularsatz</w:t>
      </w:r>
    </w:p>
    <w:p>
      <w:r>
        <w:t xml:space="preserve">„Totenschein“ abzutrennen; beide Teile, nichtvertraulicher und</w:t>
      </w:r>
    </w:p>
    <w:p>
      <w:r>
        <w:t xml:space="preserve">vertraulicher Teil, sind gesondert auszufüllen. Alle Blätter des</w:t>
      </w:r>
    </w:p>
    <w:p>
      <w:r>
        <w:t xml:space="preserve">Formularsatzes „Totenschein“ sind von dem die Leichenschau</w:t>
      </w:r>
    </w:p>
    <w:p>
      <w:r>
        <w:t xml:space="preserve">durchführenden Arzt zu unterschreiben und mit dem Stempel des Arztes,</w:t>
      </w:r>
    </w:p>
    <w:p>
      <w:r>
        <w:t xml:space="preserve">gegebenenfalls der Einrichtung, zu versehen.</w:t>
      </w:r>
    </w:p>
    <w:p>
      <w:r>
        <w:t xml:space="preserve">(2) Das eine Blatt nichtvertraulicher Teil des Totenscheins ist dem für</w:t>
      </w:r>
    </w:p>
    <w:p>
      <w:r>
        <w:t xml:space="preserve">die Bestattung Verantwortlichen zur Vorlage beim Standesamt auszuhändigen.</w:t>
      </w:r>
    </w:p>
    <w:p>
      <w:r>
        <w:t xml:space="preserve">Blatt 1 des vertraulichen Teils des Totenscheins für die untere</w:t>
      </w:r>
    </w:p>
    <w:p>
      <w:r>
        <w:t xml:space="preserve">Gesundheitsbehörde und Blatt 2 des vertraulichen Teils des Totenscheins</w:t>
      </w:r>
    </w:p>
    <w:p>
      <w:r>
        <w:t xml:space="preserve">für das Amt für Statistik Berlin-Brandenburg sind in den</w:t>
      </w:r>
    </w:p>
    <w:p>
      <w:r>
        <w:t xml:space="preserve">dazugehörigen Fensterumschlag so einzulegen, dass die Personalangaben</w:t>
      </w:r>
    </w:p>
    <w:p>
      <w:r>
        <w:t xml:space="preserve">sichtbar sind, von dem die Leichenschau durchführenden Arzt</w:t>
      </w:r>
    </w:p>
    <w:p>
      <w:r>
        <w:t xml:space="preserve">persönlich zu verschließen und dem für die Bestattung</w:t>
      </w:r>
    </w:p>
    <w:p>
      <w:r>
        <w:t xml:space="preserve">Verantwortlichen zur Vorlage beim zuständigen Standesamt zu</w:t>
      </w:r>
    </w:p>
    <w:p>
      <w:r>
        <w:t xml:space="preserve">übergeben. Blatt 3 des vertraulichen Teils des Totenscheins wird in den</w:t>
      </w:r>
    </w:p>
    <w:p>
      <w:r>
        <w:t xml:space="preserve">für die Sektion vorgesehenen Fensterumschlag so eingelegt, dass die</w:t>
      </w:r>
    </w:p>
    <w:p>
      <w:r>
        <w:t xml:space="preserve">Personalangaben sichtbar sind. Dieser Fensterumschlag ist von dem die</w:t>
      </w:r>
    </w:p>
    <w:p>
      <w:r>
        <w:t xml:space="preserve">Leichenschau durchführenden Arzt persönlich zu verschließen und</w:t>
      </w:r>
    </w:p>
    <w:p>
      <w:r>
        <w:t xml:space="preserve">verbleibt bei der Leiche. Blatt 4 des vertraulichen Teils des Totenscheins ist</w:t>
      </w:r>
    </w:p>
    <w:p>
      <w:r>
        <w:t xml:space="preserve">für die persönlichen Arztunterlagen bestimmt.</w:t>
      </w:r>
    </w:p>
    <w:p>
      <w:r>
        <w:t xml:space="preserve">(3) Die durch das Standesamt notwendigen Eintragungen erfolgen ohne</w:t>
      </w:r>
    </w:p>
    <w:p>
      <w:r>
        <w:t xml:space="preserve">Öffnung des Fensterumschlages. Das Standesamt übermittelt</w:t>
      </w:r>
    </w:p>
    <w:p>
      <w:r>
        <w:t xml:space="preserve">unverzüglich nach Eintrag der Sterbebuchnummer und der weiteren Angaben in</w:t>
      </w:r>
    </w:p>
    <w:p>
      <w:r>
        <w:t xml:space="preserve">dem markierten Teil des Totenscheins Blatt 1 und 2 des vertraulichen Teils des</w:t>
      </w:r>
    </w:p>
    <w:p>
      <w:r>
        <w:t xml:space="preserve">Totenscheins an die für den Sterbeort zuständige untere</w:t>
      </w:r>
    </w:p>
    <w:p>
      <w:r>
        <w:t xml:space="preserve">Gesundheitsbehörde zwecks Überprüfung und möglicher</w:t>
      </w:r>
    </w:p>
    <w:p>
      <w:r>
        <w:t xml:space="preserve">Korrektur des Totenscheins und/oder Veranlassung einer Sektion. Für die</w:t>
      </w:r>
    </w:p>
    <w:p>
      <w:r>
        <w:t xml:space="preserve">Korrektur des Totenscheins gilt § 17 Abs. 3 Satz 2 bis 4 des</w:t>
      </w:r>
    </w:p>
    <w:p>
      <w:r>
        <w:t xml:space="preserve">Brandenburgischen Bestattungsgesetzes entsprechend. Die untere</w:t>
      </w:r>
    </w:p>
    <w:p>
      <w:r>
        <w:t xml:space="preserve">Gesundheitsbehörde leitet bis spätestens zum 15. des auf den</w:t>
      </w:r>
    </w:p>
    <w:p>
      <w:r>
        <w:t xml:space="preserve">Beurkundungsmonat folgenden Monats Blatt 2 des vertraulichen Teils des</w:t>
      </w:r>
    </w:p>
    <w:p>
      <w:r>
        <w:t xml:space="preserve">Totenscheins an das Amt für Statistik Berlin-Brandenburg</w:t>
      </w:r>
    </w:p>
    <w:p>
      <w:r>
        <w:t xml:space="preserve">weiter.</w:t>
      </w:r>
    </w:p>
    <w:p>
      <w:r>
        <w:t xml:space="preserve">(4) Für eine vorgesehene Sektion ist das Formular</w:t>
      </w:r>
    </w:p>
    <w:p>
      <w:r>
        <w:t xml:space="preserve">„Sektionsschein“, bestehend aus einem Blatt 1 für die untere</w:t>
      </w:r>
    </w:p>
    <w:p>
      <w:r>
        <w:t xml:space="preserve">Gesundheitsbehörde und einem Blatt 2 für die mit der Sektion</w:t>
      </w:r>
    </w:p>
    <w:p>
      <w:r>
        <w:t xml:space="preserve">beauftragte Einrichtung, gemeinsam mit Blatt 3 des vertraulichen Teils des</w:t>
      </w:r>
    </w:p>
    <w:p>
      <w:r>
        <w:t xml:space="preserve">Totenscheins, in den dazugehörigen Fensterumschlag einzulegen. Für</w:t>
      </w:r>
    </w:p>
    <w:p>
      <w:r>
        <w:t xml:space="preserve">die Anwendung gilt Absatz 2 Satz 3 und 4 entsprechend.</w:t>
      </w:r>
    </w:p>
    <w:p>
      <w:r>
        <w:t xml:space="preserve">(5) Nach erfolgter Sektion hat die mit der Sektion beauftragte Einrichtung</w:t>
      </w:r>
    </w:p>
    <w:p>
      <w:r>
        <w:t xml:space="preserve">Blatt 1 des Sektionsscheins mit dem Sektionsbefund unverzüglich an die</w:t>
      </w:r>
    </w:p>
    <w:p>
      <w:r>
        <w:t xml:space="preserve">für den Sterbeort zuständige untere Gesundheitsbehörde</w:t>
      </w:r>
    </w:p>
    <w:p>
      <w:r>
        <w:t xml:space="preserve">weiterzuleiten. Weicht der Sektionsbefund von der im Totenschein dokumentierten</w:t>
      </w:r>
    </w:p>
    <w:p>
      <w:r>
        <w:t xml:space="preserve">Todesursache ab, korrigiert die untere Gesundheitsbehörde die Todesursache</w:t>
      </w:r>
    </w:p>
    <w:p>
      <w:r>
        <w:t xml:space="preserve">und informiert unverzüglich das Amt für Statistik Berlin-Brandenburg über die Änderung der Todesursache.</w:t>
      </w:r>
    </w:p>
    <w:p>
      <w:r>
        <w:t xml:space="preserve">(6) Befindet sich der Fensterumschlag mit dem Blatt 3 des vertraulichen</w:t>
      </w:r>
    </w:p>
    <w:p>
      <w:r>
        <w:t xml:space="preserve">Teils des Totenscheins und gegebenenfalls mit dem Formular</w:t>
      </w:r>
    </w:p>
    <w:p>
      <w:r>
        <w:t xml:space="preserve">„Sektionsschein“ bei der Bestattung noch bei der Leiche, hat der</w:t>
      </w:r>
    </w:p>
    <w:p>
      <w:r>
        <w:t xml:space="preserve">für die Bestattung Verantwortliche den verschlossenen Umschlag</w:t>
      </w:r>
    </w:p>
    <w:p>
      <w:r>
        <w:t xml:space="preserve">unverzüglich an die für den Sterbeort zuständige untere</w:t>
      </w:r>
    </w:p>
    <w:p>
      <w:r>
        <w:t xml:space="preserve">Gesundheitsbehörde weiterzuleiten.</w:t>
      </w:r>
    </w:p>
    <w:p>
      <w:r>
        <w:t xml:space="preserve">(7) Die unteren Gesundheitsbehörden dürfen personenbezogene Daten</w:t>
      </w:r>
    </w:p>
    <w:p>
      <w:r>
        <w:t xml:space="preserve">verarbeiten, soweit dies zur Erfüllung ihrer Aufgaben nach dieser</w:t>
      </w:r>
    </w:p>
    <w:p>
      <w:r>
        <w:t xml:space="preserve">Verordnung oder nach dem Brandenburgischen Bestattungsgesetz erforderlich ist.</w:t>
      </w:r>
    </w:p>
    <w:p>
      <w:r>
        <w:t xml:space="preserve">Im Übrigen finden die Bestimmungen der §§ 28 und 29 des</w:t>
      </w:r>
    </w:p>
    <w:p>
      <w:r>
        <w:t xml:space="preserve">Brandenburgischen Gesundheitsdienstgesetzes Anwendung.</w:t>
      </w:r>
    </w:p>
    <w:p>
      <w:r>
        <w:rPr>
          <w:color w:val="555555"/>
          <w:sz w:val="17"/>
        </w:rPr>
        <w:t xml:space="preserve">Zitiervorschlag: § 2 BbgLDV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https://recht.nulegal.eu/gesetze/BbgLDV/2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