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BbgKostO (Brandenburg) — Inkrafttreten, Außerkrafttreten</w:t>
      </w:r>
    </w:p>
    <w:p>
      <w:r>
        <w:rPr>
          <w:color w:val="555555"/>
          <w:sz w:val="18"/>
        </w:rPr>
        <w:t xml:space="preserve">Brandenburgische Kostenordnung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tritt mit Wirkung vom 1. September 2013 in Kraft. Gleichzeitig tritt die Kostenordnung zum Verwaltungsvollstreckungsgesetz für das Land Brandenburg vom 16. Juni 1992 (GVBl. II S. 299) außer Kraft.</w:t>
      </w:r>
    </w:p>
    <w:p>
      <w:r>
        <w:t xml:space="preserve">Potsdam, den 2. September 2013</w:t>
      </w:r>
    </w:p>
    <w:p>
      <w:r>
        <w:t xml:space="preserve">Der Minister des Innern</w:t>
      </w:r>
    </w:p>
    <w:p>
      <w:r>
        <w:t xml:space="preserve">Ralf Holzschuher</w:t>
      </w:r>
    </w:p>
    <w:p>
      <w:r>
        <w:rPr>
          <w:color w:val="555555"/>
          <w:sz w:val="17"/>
        </w:rPr>
        <w:t xml:space="preserve">Zitiervorschlag: § 17 BbgKostO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https://recht.nulegal.eu/gesetze/BbgKostO/17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