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BbgKostO (Brandenburg) — Auslagen im Mahnverfahren</w:t>
      </w:r>
    </w:p>
    <w:p>
      <w:r>
        <w:rPr>
          <w:color w:val="555555"/>
          <w:sz w:val="18"/>
        </w:rPr>
        <w:t xml:space="preserve">Brandenburgische Kostenordnung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Im Mahnverfahren werden Auslagen, insbesondere Postentgelte, nicht erhoben. Das gilt nicht im Fall der Mahnung durch Postnachnahmeauftrag, wenn die Nachnahme eingelöst wird.</w:t>
      </w:r>
    </w:p>
    <w:p>
      <w:r>
        <w:rPr>
          <w:color w:val="555555"/>
          <w:sz w:val="17"/>
        </w:rPr>
        <w:t xml:space="preserve">Zitiervorschlag: § 14 BbgKostO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https://recht.nulegal.eu/gesetze/BbgKostO/14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