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BbgKostO (Brandenburg) — Wegnahmegebühr</w:t>
      </w:r>
    </w:p>
    <w:p>
      <w:r>
        <w:rPr>
          <w:color w:val="555555"/>
          <w:sz w:val="18"/>
        </w:rPr>
        <w:t xml:space="preserve">Brandenburgische Kostenordnung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Wegnahme einer herauszugebenden Sache wird eine Gebühr erhoben. Dies gilt nicht, wenn die Sache durch Inbesitznahme gepfändet wird. Die Gebühr beträgt mindestens 30 Euro und höchstens 300 Euro.</w:t>
      </w:r>
    </w:p>
    <w:p>
      <w:r>
        <w:t xml:space="preserve">(2) Die Gebührenschuld entsteht, sobald die Vollstreckungsdienstkraft oder die von der Vollstreckungsbehörde beauftragte Person Schritte zur Ausführung des Auftrages unternommen hat.</w:t>
      </w:r>
    </w:p>
    <w:p>
      <w:r>
        <w:rPr>
          <w:color w:val="555555"/>
          <w:sz w:val="17"/>
        </w:rPr>
        <w:t xml:space="preserve">Zitiervorschlag: § 11 BbgKostO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https://recht.nulegal.eu/gesetze/BbgKostO/11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