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BbgKostO (Brandenburg) — Gebührenarten</w:t>
      </w:r>
    </w:p>
    <w:p>
      <w:r>
        <w:rPr>
          <w:color w:val="555555"/>
          <w:sz w:val="18"/>
        </w:rPr>
        <w:t xml:space="preserve">Brandenburgische Kostenordnung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die Maßnahmen nach dem Verwaltungsvollstreckungsgesetz für das Land Brandenburg werden folgende Gebühren erhoben:</w:t>
      </w:r>
    </w:p>
    <w:p>
      <w:r>
        <w:t xml:space="preserve">Mahngebühr,</w:t>
      </w:r>
    </w:p>
    <w:p>
      <w:r>
        <w:t xml:space="preserve">Grundgebühr,</w:t>
      </w:r>
    </w:p>
    <w:p>
      <w:r>
        <w:t xml:space="preserve">Pfändungsgebühr,</w:t>
      </w:r>
    </w:p>
    <w:p>
      <w:r>
        <w:t xml:space="preserve">Versteigerungs- oder Verwertungsgebühr,</w:t>
      </w:r>
    </w:p>
    <w:p>
      <w:r>
        <w:t xml:space="preserve">Gebühr für die Abnahme einer Vermögensauskunft,</w:t>
      </w:r>
    </w:p>
    <w:p>
      <w:r>
        <w:t xml:space="preserve">Androhungsgebühr,</w:t>
      </w:r>
    </w:p>
    <w:p>
      <w:r>
        <w:t xml:space="preserve">Festsetzungsgebühr,</w:t>
      </w:r>
    </w:p>
    <w:p>
      <w:r>
        <w:t xml:space="preserve">Wegnahmegebühr,</w:t>
      </w:r>
    </w:p>
    <w:p>
      <w:r>
        <w:t xml:space="preserve">Zwangsräumungsgebühr,</w:t>
      </w:r>
    </w:p>
    <w:p>
      <w:r>
        <w:t xml:space="preserve">Verwaltungsgebühr bei Ersatzvornahmen.</w:t>
      </w:r>
    </w:p>
    <w:p>
      <w:r>
        <w:rPr>
          <w:color w:val="555555"/>
          <w:sz w:val="17"/>
        </w:rPr>
        <w:t xml:space="preserve">Zitiervorschlag: § 1 BbgKostO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https://recht.nulegal.eu/gesetze/BbgKostO/1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