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BbgKomBesV (Brandenburg) — Dienstaufwandsentschädigung für Beigeordnete</w:t>
      </w:r>
    </w:p>
    <w:p>
      <w:r>
        <w:rPr>
          <w:color w:val="555555"/>
          <w:sz w:val="18"/>
        </w:rPr>
        <w:t xml:space="preserve">Brandenburgische Kommunalbesoldungsverordnung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Dienstaufwandsentschädigung für die Ersten Beigeordneten darf 75 Prozent, die der weiteren Beigeordneten 50 Prozent der nach § 7 Absatz 1 bis 3 jeweils maßgeblichen Beträge, aufgerundet auf volle Euro, nicht überschreiten.</w:t>
      </w:r>
    </w:p>
    <w:p>
      <w:r>
        <w:t xml:space="preserve">(2) Soweit keine Beigeordneten berufen wurden, kann den zu allgemeinen Stellvertretern der Hauptverwaltungsbeamtinnen und Hauptverwaltungsbeamten bestellten Beamtinnen und Beamten mit Dienstbezügen eine Dienstaufwandsentschädigung bis zu 60 Prozent der nach § 7 Absatz 1 bis 3 jeweils maßgeblichen Beträge, aufgerundet auf volle Euro, gewährt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BbgKomBesV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Dieses Dokument: https://recht.nulegal.eu/gesetze/BbgKomBesV/8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