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BbgKomBesV (Brandenburg) — Inkrafttreten, Außerkrafttreten</w:t>
      </w:r>
    </w:p>
    <w:p>
      <w:r>
        <w:rPr>
          <w:color w:val="555555"/>
          <w:sz w:val="18"/>
        </w:rPr>
        <w:t xml:space="preserve">Brandenburgische Kommunalbesoldungsverordnung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 nach der Verkündung in Kraft. Gleichzeitig treten außer Kraft:</w:t>
      </w:r>
    </w:p>
    <w:p>
      <w:r>
        <w:t xml:space="preserve">die Einstufungsverordnung vom 3. Februar 1992 ( GVBl. II S. 76), die zuletzt durch Verordnung vom 2. Februar 2010 (GVBl. II Nr. 7) geändert worden ist, und</w:t>
      </w:r>
    </w:p>
    <w:p>
      <w:r>
        <w:t xml:space="preserve">die Kommunaldienstaufwandsentschädigungsverordnung vom 1. Dezember 1994 (GVBl. II S. 991), die durch Verordnung vom 28. November 2001 (GVBl. II S. 638) geändert worden ist.</w:t>
      </w:r>
    </w:p>
    <w:p>
      <w:r>
        <w:t xml:space="preserve">Einzelnorm</w:t>
      </w:r>
    </w:p>
    <w:p>
      <w:r>
        <w:t xml:space="preserve">Potsdam, den 2. Februar 2018</w:t>
      </w:r>
    </w:p>
    <w:p>
      <w:r>
        <w:t xml:space="preserve">Der Minister des Innern und für Kommunales</w:t>
      </w:r>
    </w:p>
    <w:p>
      <w:r>
        <w:t xml:space="preserve">Karl-Heinz Schröter</w:t>
      </w:r>
    </w:p>
    <w:p>
      <w:r>
        <w:rPr>
          <w:color w:val="555555"/>
          <w:sz w:val="17"/>
        </w:rPr>
        <w:t xml:space="preserve">Zitiervorschlag: § 10 BbgKomBesV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https://recht.nulegal.eu/gesetze/BbgKomBesV/10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