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BbgKiStG (Brandenburg) — Rechtsbehelfe</w:t>
      </w:r>
    </w:p>
    <w:p>
      <w:r>
        <w:rPr>
          <w:color w:val="555555"/>
          <w:sz w:val="18"/>
        </w:rPr>
        <w:t xml:space="preserve">Brandenburgisches Kirchensteuergesetz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Streitigkeiten in Kirchensteuersachen ist der Verwaltungsrechtsweg gegeben. Richtet sich der Widerspruch gegen den Kirchensteuerbescheid eines Finanzamtes, ist vor dem Erlass eines Widerspruchsbescheides die zuständige kirchliche Stelle zu hören.</w:t>
      </w:r>
    </w:p>
    <w:p>
      <w:r>
        <w:t xml:space="preserve">(2) Rechtsbehelfe gegen die Heranziehung zur Kirchensteuer können nicht auf Einwendungen gegen die Bemessung der der Kirchensteuer zugrunde liegenden Maßstabsteuer gestützt werden.</w:t>
      </w:r>
    </w:p>
    <w:p>
      <w:r>
        <w:rPr>
          <w:color w:val="555555"/>
          <w:sz w:val="17"/>
        </w:rPr>
        <w:t xml:space="preserve">Zitiervorschlag: § 9 BbgKiStG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https://recht.nulegal.eu/gesetze/BbgKiStG/9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