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BbgKiStG (Brandenburg) — Entstehung und Erhebung der Steuerschuld</w:t>
      </w:r>
    </w:p>
    <w:p>
      <w:r>
        <w:rPr>
          <w:color w:val="555555"/>
          <w:sz w:val="18"/>
        </w:rPr>
        <w:t xml:space="preserve">Brandenburgisches Kirchensteuergesetz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die Steuer durch Abzug vom Arbeitslohn oder durch Abzug vom Kapitalertrag im Sinne des § 43 des Einkommensteuergesetzes erhoben wird, entsteht die Kirchensteuerschuld im Zeitpunkt des Zufließens der steuerabzugspflichtigen Einnahmen. Die Regelungen zur Durchführung des Kirchensteuerabzugs durch den Kirchensteuerabzugsverpflichteten gemäß § 51a Absatz 2c des Einkommensteuergesetzes bleiben davon unberührt.</w:t>
      </w:r>
    </w:p>
    <w:p>
      <w:r>
        <w:t xml:space="preserve">(2) In den übrigen Fällen, in denen die Steuer als Zuschlag zur Einkommensteuer, als Steuer auf Kapitalerträge nach § 32d Abs. 2, 3, 4 oder 6 und § 51a Abs. 2d Satz 1 des Einkommensteuergesetzes sowie als Kirchgeld nach § 3 Abs. 1 Satz 1 Nr. 5 erhoben wird, entsteht die Steuerschuld mit Ablauf des Erhebungszeitraumes. Erhebungszeitraum ist das Kalenderjahr.</w:t>
      </w:r>
    </w:p>
    <w:p>
      <w:r>
        <w:t xml:space="preserve">(3) Sind Vorauszahlungen zu leisten, entsteht die Steuerschuld mit Beginn des Vorauszahlungszeitraumes.</w:t>
      </w:r>
    </w:p>
    <w:p>
      <w:r>
        <w:t xml:space="preserve">(4) Bei der Steuer als Zuschlag zur Vermögensteuer und vom Grundbesitz entsteht die Steuerschuld mit Beginn des Erhebungszeitraumes.</w:t>
      </w:r>
    </w:p>
    <w:p>
      <w:r>
        <w:rPr>
          <w:color w:val="555555"/>
          <w:sz w:val="17"/>
        </w:rPr>
        <w:t xml:space="preserve">Zitiervorschlag: § 4 BbgKiStG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https://recht.nulegal.eu/gesetze/BbgKiStG/4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