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BbgKiStG (Brandenburg) — Inkrafttreten, Außerkrafttreten</w:t>
      </w:r>
    </w:p>
    <w:p>
      <w:r>
        <w:rPr>
          <w:color w:val="555555"/>
          <w:sz w:val="18"/>
        </w:rPr>
        <w:t xml:space="preserve">Brandenburgisches Kirchensteuergesetz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Dieses Gesetz tritt am 1. Januar 2009 in Kraft. Gleichzeitig tritt das Brandenburgische Kirchensteuergesetz vom 25. Juni 1999 ( GVBl. I S. 251), geändert durch Gesetz vom 6. Dezember 2001 (GVBl. I S. 242), außer Kraft.</w:t>
      </w:r>
    </w:p>
    <w:p>
      <w:r>
        <w:t xml:space="preserve">Potsdam, den 18. Dezember 2008</w:t>
      </w:r>
    </w:p>
    <w:p>
      <w:r>
        <w:t xml:space="preserve">Der Präsident</w:t>
      </w:r>
    </w:p>
    <w:p>
      <w:r>
        <w:t xml:space="preserve">des Landtages Brandenburg</w:t>
      </w:r>
    </w:p>
    <w:p>
      <w:r>
        <w:t xml:space="preserve">Gunter Fritsch</w:t>
      </w:r>
    </w:p>
    <w:p>
      <w:r>
        <w:rPr>
          <w:color w:val="555555"/>
          <w:sz w:val="17"/>
        </w:rPr>
        <w:t xml:space="preserve">Zitiervorschlag: § 12 BbgKiStG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https://recht.nulegal.eu/gesetze/BbgKiStG/12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