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BbgKiStG (Brandenburg) — Besteuerungsrecht</w:t>
      </w:r>
    </w:p>
    <w:p>
      <w:r>
        <w:rPr>
          <w:color w:val="555555"/>
          <w:sz w:val="18"/>
        </w:rPr>
        <w:t xml:space="preserve">Brandenburgisches Kirchensteuergesetz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Kirchen und andere Religionsgemeinschaften, die Körperschaften des öffentlichen Rechts sind (steuerberechtigte Religionsgemeinschaften), können nach Maßgabe dieses Gesetzes Steuern aufgrund eigener Steuerordnungen (Kirchensteuern) erheben.</w:t>
      </w:r>
    </w:p>
    <w:p>
      <w:r>
        <w:rPr>
          <w:color w:val="555555"/>
          <w:sz w:val="17"/>
        </w:rPr>
        <w:t xml:space="preserve">Zitiervorschlag: § 1 BbgKiStG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https://recht.nulegal.eu/gesetze/BbgKiStG/1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