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BbgKWahlV (Brandenburg) — Wahlorgane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Mitglieder der Wahlausschüsse für die Bundestags- oder Europawahl können zugleich Mitglieder der Wahlausschüsse für die Kommunalwahlen sein.</w:t>
      </w:r>
    </w:p>
    <w:p>
      <w:r>
        <w:t xml:space="preserve">(2) Die nach den bundeswahlrechtlichen Vorschriften zu berufenden Mitglieder der Wahlvorstände für die Bundestags- oder Europawahl sollen nach Möglichkeit zugleich als Mitglieder der Wahlvorstände für die Kommunalwahlen berufen werden; bei Briefwahlvorständen kann so verfahren werden. Werden die Mitglieder der Wahlvorstände nach Satz 1 für die Bundestags- oder Europawahl und Kommunalwahlen berufen, kann der aufnehmende Wahlvorstand nach § 68 Absatz 2 der Bundeswahlordnung und § 61 Absatz 2 der Europawahlordnung für die betroffenen Wahlbezirke auch die Wahlergebnisse einzelner oder sämtlicher Kommunalwahlen ermitteln und feststellen.</w:t>
      </w:r>
    </w:p>
    <w:p>
      <w:r>
        <w:t xml:space="preserve">(3) Wahlberechtigte Personen, die als Mitglied eines Wahlvorstandes sowohl für die Bundestags- oder Europawahl als auch für die Kommunalwahlen berufen worden sind, erhalten zusätzlich ein Erfrischungsgeld gemäß § 10 Absatz 2 der Bundeswahlordnung für die Bundestagswahl oder § 10 Absatz 2 der Europawahlordnung für die Europawahl.</w:t>
      </w:r>
    </w:p>
    <w:p>
      <w:r>
        <w:rPr>
          <w:color w:val="555555"/>
          <w:sz w:val="17"/>
        </w:rPr>
        <w:t xml:space="preserve">Zitiervorschlag: § 98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https://recht.nulegal.eu/gesetze/BbgKWahlV/98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