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BbgKWahlV (Brandenburg) — Vordruckmuster</w:t>
      </w:r>
    </w:p>
    <w:p>
      <w:r>
        <w:rPr>
          <w:color w:val="555555"/>
          <w:sz w:val="18"/>
        </w:rPr>
        <w:t xml:space="preserve">Brandenburgische Kommunalwahlverordnung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dieser Verordnung erwähnten Vordrucke werden von dem für das Kommunalwahlrecht zuständige Ministerium aufgestellt und im Internet veröffentlicht.</w:t>
      </w:r>
    </w:p>
    <w:p>
      <w:r>
        <w:rPr>
          <w:color w:val="555555"/>
          <w:sz w:val="17"/>
        </w:rPr>
        <w:t xml:space="preserve">Zitiervorschlag: § 93 BbgKWahlV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https://recht.nulegal.eu/gesetze/BbgKWahlV/93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