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BbgKWahlV (Brandenburg) — Auslagenersatz und Erfrischungsgeld</w:t>
      </w:r>
    </w:p>
    <w:p>
      <w:r>
        <w:rPr>
          <w:color w:val="555555"/>
          <w:sz w:val="18"/>
        </w:rPr>
        <w:t xml:space="preserve">Brandenburgische Kommunalwahlverordnung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Mitglieder der Wahlausschüsse und Wahlvorstände erhalten, wenn sie außerhalb ihres Wohnortes tätig werden, Auslagenersatz für ihre Kosten entsprechend den Reisekostenregelungen.</w:t>
      </w:r>
    </w:p>
    <w:p>
      <w:r>
        <w:t xml:space="preserve">(2) Ein Erfrischungsgeld von je 25 Euro kann den Mitgliedern der Wahlausschüsse und den Mitgliedern der Wahlvorstände für die Teilnahme an einer gemäß den §§ 4 oder 5 Absatz 7 Satz 1 einberufenen Sitzung gewährt werden. Den Vorsitzenden kann ein Erfrischungsgeld von 35 Euro gewährt werden. Das Erfrischungsgeld ist auf ein Tagegeld nach Absatz 1 anzurechnen.</w:t>
      </w:r>
    </w:p>
    <w:p>
      <w:r>
        <w:rPr>
          <w:color w:val="555555"/>
          <w:sz w:val="17"/>
        </w:rPr>
        <w:t xml:space="preserve">Zitiervorschlag: § 7 BbgKWahlV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https://recht.nulegal.eu/gesetze/BbgKWahlV/7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