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BbgKWahlV (Brandenburg) — Einbeziehung des Briefwahlergebnisses in das Wahlergebnis des Wahlbezirks</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des nach § 66 Absatz 2 Satz 1 bestimmten Wahlbezirks öffnet die Wahlbriefe einzeln und entnimmt ihnen den Wahlschein und den Stimmzettelumschlag. Ist der Wahlschein in einem Verzeichnis über die für ungültig erklärten Wahlscheine oder in den Nachträgen dazu (§ 27 Absatz 3) aufgeführt oder werden Bedenken gegen die Gültigkeit des Wahlscheins erhoben, so sind die betroffenen Wahlbriefe samt Inhalt unter Kontrolle der Wahlvorsteherin oder des Wahlvorstehers auszusondern und später entsprechend Absatz 2 zu behandeln. Die aus den übrigen Wahlbriefen entnommenen Stimmzettelumschläge werden ungeöffnet in eine gesonderte Wahlurne gelegt; die Wahlscheine werden gesammelt.</w:t>
      </w:r>
    </w:p>
    <w:p>
      <w:r>
        <w:t xml:space="preserve">(2) Werden aus der Mitte des Wahlvorstands gegen einen Wahlbrief Bedenken erhoben, so beschließt der Wahlvorstand über dessen Zulassung oder Zurückweisung. Ein Wahlbrief ist zurückzuweisen, wenn ein Zurückweisungstatbestand im Sinne des § 45 Absatz 4 des Brandenburgischen Kommunalwahlgesetzes vorliegt. Die Zahlen der beanstandeten, der nach besonderer Beschlussfassung zugelassenen und der zurückgewiesenen Wahlbriefe sind in der Ergänzung zur Wahlniederschrift des Wahlbezirks zu vermerken. Die zurückgewiesenen Wahlbriefe sind mit Inhalt auszusondern, mit einem Vermerk über den Zurückweisungsgrund zu versehen, wieder zu verschließen, fortlaufend zu nummerieren und der Ergänzung zur Wahlniederschrift in einem versiegelten Paket beizufügen. Die Wahlvorsteherin oder der Wahlvorsteher hat zu gewährleisten, dass bei der Zählung der wählenden Personen die Regelung des § 45 Absatz 5 des Brandenburgischen Kommunalwahlgesetzes beachtet wird. Die zugelassenen Wahlbriefe werden ungeöffnet in die gesonderte Wahlurne (Absatz 1 Satz 3) gelegt.</w:t>
      </w:r>
    </w:p>
    <w:p>
      <w:r>
        <w:t xml:space="preserve">(3) Hierauf werden die Stimmzettelumschläge der gesonderten Wahlurne (Absatz 1 Satz 3) entnommen und geöffnet. Die den Stimmzettelumschlägen entnommenen Stimmzettel werden uneingesehen in gefaltetem Zustand in die Wahlurne des Wahlbezirks gelegt.</w:t>
      </w:r>
    </w:p>
    <w:p>
      <w:r>
        <w:t xml:space="preserve">(4) Enthält bei verbundenen Wahlen der Stimmzettelumschlag den Stimmzettel einer Wahl, für die der Wahlschein nicht gilt, so ist dieser Stimmzettel auszusondern. Er ist uneingesehen in den Stimmzettelumschlag zu legen, dieser ist mit einem Vermerk über den Grund der Aussonderung zu versehen, wieder zu verschließen und in das in Absatz 2 Satz 4 genannte Paket einzubeziehen. Enthält der Stimmzettelumschlag für die gleiche Wahl mehrere Stimmzettel (§ 64 Absatz 2), so ist entsprechend zu verfahren.</w:t>
      </w:r>
    </w:p>
    <w:p>
      <w:r>
        <w:t xml:space="preserve">(5) Die Wahlleiterin oder der Wahlleiter kann zulassen, dass der Wahlvorstand die ihr oder ihm übergebenen Wahlbriefe schon vor Ablauf der Wahlzeit nach den Absätzen 1 bis 3 behandelt, wenn dies nach der Zahl der Wahlbriefe geboten erscheint und den ungestörten Ablauf der Wahlhandlung nicht beeinträchtigt.</w:t>
      </w:r>
    </w:p>
    <w:p>
      <w:r>
        <w:rPr>
          <w:color w:val="555555"/>
          <w:sz w:val="17"/>
        </w:rPr>
        <w:t xml:space="preserve">Zitiervorschlag: § 67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https://recht.nulegal.eu/gesetze/BbgKWahlV/67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