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49 BbgKWahlV (Brandenburg) — Öffentlichkeit der Wahl</w:t>
      </w:r>
    </w:p>
    <w:p>
      <w:r>
        <w:rPr>
          <w:color w:val="555555"/>
          <w:sz w:val="18"/>
        </w:rPr>
        <w:t xml:space="preserve">Brandenburgische Kommunalwahlverordnung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Während der Wahlhandlung sowie der Ermittlung und Feststellung des Wahlergebnisses hat jede Person zum Wahllokal Zutritt, soweit das ohne Störung des Wahlgeschäfts möglich ist.</w:t>
      </w:r>
    </w:p>
    <w:p>
      <w:r>
        <w:rPr>
          <w:color w:val="555555"/>
          <w:sz w:val="17"/>
        </w:rPr>
        <w:t xml:space="preserve">Zitiervorschlag: § 49 BbgKWahlV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https://recht.nulegal.eu/gesetze/BbgKWahlV/49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