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BbgKWahlV (Brandenburg) — Voraussetzungen für die Erteilung von Wahlscheinen</w:t>
      </w:r>
    </w:p>
    <w:p>
      <w:r>
        <w:rPr>
          <w:color w:val="555555"/>
          <w:sz w:val="18"/>
        </w:rPr>
        <w:t xml:space="preserve">Brandenburgische Kommunalwahlverordnung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Eine wahlberechtigte Person, die in das Wahlberechtigtenverzeichnis eingetragen ist, erhält auf Antrag einen Wahlschein.</w:t>
      </w:r>
    </w:p>
    <w:p>
      <w:r>
        <w:t xml:space="preserve">(2) Eine wahlberechtigte Person, die nicht in das Wahlberechtigtenverzeichnis eingetragen ist, erhält auf Antrag einen Wahlschein, wenn</w:t>
      </w:r>
    </w:p>
    <w:p>
      <w:r>
        <w:t xml:space="preserve">sie nachweist, dass sie ohne ihr Verschulden die Antragsfrist nach § 15 Absatz 1 Satz 1 oder die Einspruchsfrist nach § 20 Absatz 1 Satz 2 versäumt hat,</w:t>
      </w:r>
    </w:p>
    <w:p>
      <w:r>
        <w:t xml:space="preserve">ihr Recht auf Teilnahme an der Wahl erst nach Ablauf der Antragsfrist nach § 15 Absatz 1 Satz 1 oder der Einspruchsfrist nach § 20 Absatz 1 Satz 2 entstanden ist oder</w:t>
      </w:r>
    </w:p>
    <w:p>
      <w:r>
        <w:t xml:space="preserve">ihr Wahlrecht im Einspruchsverfahren festgestellt worden ist und die Wahlbehörde von der Feststellung erst nach Abschluss des Wahlberechtigtenverzeichnisses erfahren hat.</w:t>
      </w:r>
    </w:p>
    <w:p>
      <w:r>
        <w:rPr>
          <w:color w:val="555555"/>
          <w:sz w:val="17"/>
        </w:rPr>
        <w:t xml:space="preserve">Zitiervorschlag: § 23 BbgKWahlV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https://recht.nulegal.eu/gesetze/BbgKWahlV/23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